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81</w:t>
      </w:r>
    </w:p>
    <w:p>
      <w:r>
        <w:t>Bundesgericht (BGE), 1993-09-29, IT</w:t>
      </w:r>
    </w:p>
    <w:p>
      <w:r>
        <w:rPr>
          <w:b/>
        </w:rPr>
        <w:t xml:space="preserve">Quelle: </w:t>
      </w:r>
      <w:r>
        <w:t>https://mcp.opencaselaw.ch/entscheid/bge_119 III 81</w:t>
      </w:r>
    </w:p>
    <w:p>
      <w:r>
        <w:t>FR: ATF 119 III 81</w:t>
      </w:r>
    </w:p>
    <w:p>
      <w:r>
        <w:t>IT: DTF 119 III 81</w:t>
      </w:r>
    </w:p>
    <w:p>
      <w:pPr>
        <w:pStyle w:val="Heading2"/>
      </w:pPr>
      <w:r>
        <w:t>Regeste</w:t>
      </w:r>
    </w:p>
    <w:p>
      <w:r>
        <w:t>Regeste Tritt die Masse eine Forderung gegen einen Dritten, der zugleich auch Gläubiger ist, ab, so ist dieser zur Beschwerde legitimiert, die Abtretung sei nicht in Übereinstimmung mit den entsprechenden Gesetzes- und Verordnungsbestimmungen erfolgt.</w:t>
      </w:r>
    </w:p>
    <w:p>
      <w:pPr>
        <w:pStyle w:val="Heading2"/>
      </w:pPr>
      <w:r>
        <w:t>Erwägungen</w:t>
      </w:r>
    </w:p>
    <w:p>
      <w:r>
        <w:rPr>
          <w:b/>
        </w:rPr>
        <w:t>E. 2</w:t>
      </w:r>
    </w:p>
    <w:p>
      <w:r>
        <w:t>Dopo che l'autorità di vigilanza ha annullato d'ufficio la cessione 15 dicembre 1988, litigiosa è unicamente la questione di sapere se il ricorrente sia legittimato a presentare reclamo contro la cessione 30 ottobre 1992. BGE 119 III 81 S. 83 Secondo la giurisprudenza e la dottrina la legittimazione a presentare reclamo deve essere riconosciuta ad ogni persona toccata nei propri interessi giuridicamente protetti da una misura dell'Ufficio ( DTF 112 III 1 consid. 3b pag. 3 e rinvii; Amonn, Grundriss des Schuldbetreibungs- und Konkursrechts, 5a edizione, Berna 1993, § 6 n. 19, pag. 58; GILLIÉRON, Poursuite pour dettes, faillite et concordat, 3a edizione, Losanna 1993, pag. 56; FRITZSCHE/WALDER, Schuldbetreibung und Konkurs nach schweizerischem Recht, Vol. I, § 6 n. 19 e 20). La Corte cantonale riferendosi a AMONN (loc.cit., § 47 n. 44 e 45 pag. 383 seg.) ha ritenuto che al ricorrente, nella sua doppia qualità di creditore e debitore della fallita, non poteva essere riconosciuta la legittimazione a censurare la nota cessione. La conclusione a cui è giunta la Corte cantonale non può essere condivisa. Infatti, nella sua qualità di creditore il ricorrente ha diritto, come tutti gli altri creditori, a che gli atti d'amministrazione del fallimento avvengano in conformità della legge e delle ordinanze vigenti in materia e, in caso d'inosservanza di queste prescrizioni, egli è senz'altro legittimato a presentare reclamo. Ciò detto non si vede per quale motivo il diritto di ogni creditore di esigere che l'amministrazione del fallimento avvenga in modo conforme alla legge dovrebbe decadere nel caso in cui la cessione concerne una pretesa della massa rivolta contro il creditore stesso, né perché in simile evenienza si dovrebbe negargli la possibilità di inoltrare reclamo contro una cessione a suo avviso contraria alle norme legali. Il Tribunale federale si è espresso in questo senso nella sentenza pubblicata in DTF 53 III 71 segg.; v. inoltre anche se meno esplicita DTF 48 III 88 segg.). Pure dello stesso avviso è la maggior parte della dottrina (BRIDEL, Contribution à l'étude de l'art. 260 LP, in JdT 1939 III pag. 98 segg., in particolare n. 34 pag. 116 seg.; FLACHSMANN, Die Abtretung der Rechtsansprüche der Konkursmasse nach Art. 260 des schweizer. Schuldbetreibungs- und Konkursgesetzes, tesi Zurigo 1927, pag. 91 in basso; cfr. inoltre FAVRE, Droit des poursuites, pag. 347 lett. D). Per quanto concerne l'opinione contraria di AMONN (loc.cit.) si può osservare ch'essa è motivata in modo sommario e che questo autore non muove alcuna critica alla sentenza pubblicata in DTF 53 III 71 segg. Discende da queste considerazioni che il ricorrente ha un interesse a contestare la legalità della cessione e che a torto la Corte cantonale ha negato la legittimazione. Il ricorso deve pertanto essere parzialmente accolto, la sentenza impugnata annullata e gli atti rinviati alla giurisdizione cantonale affinché esamini il reclamo nel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